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CACBE" w14:textId="51BF9737" w:rsidR="00A936ED" w:rsidRPr="00A936ED" w:rsidRDefault="00A936ED" w:rsidP="0015069E">
      <w:pPr>
        <w:pStyle w:val="Overskrift1"/>
      </w:pPr>
      <w:r w:rsidRPr="0015069E">
        <w:t>Enkeltvedtak om […] for [namn</w:t>
      </w:r>
      <w:r w:rsidRPr="00A936ED">
        <w:rPr>
          <w:rStyle w:val="normaltextrun"/>
        </w:rPr>
        <w:t>]</w:t>
      </w:r>
      <w:r w:rsidRPr="00A936ED">
        <w:rPr>
          <w:rStyle w:val="eop"/>
        </w:rPr>
        <w:t> </w:t>
      </w:r>
    </w:p>
    <w:p w14:paraId="5C415751" w14:textId="77777777" w:rsidR="00A936ED" w:rsidRDefault="00A936ED" w:rsidP="0015069E">
      <w:pPr>
        <w:rPr>
          <w:rStyle w:val="normaltextrun"/>
          <w:rFonts w:eastAsiaTheme="majorEastAsia" w:cs="Segoe UI"/>
          <w:color w:val="000000"/>
        </w:rPr>
      </w:pPr>
    </w:p>
    <w:p w14:paraId="0BABD35D" w14:textId="1A58D072" w:rsidR="00A936ED" w:rsidRPr="00C64D01" w:rsidRDefault="00A936ED" w:rsidP="0015069E">
      <w:r w:rsidRPr="00C64D01">
        <w:rPr>
          <w:rStyle w:val="normaltextrun"/>
          <w:rFonts w:eastAsiaTheme="majorEastAsia" w:cs="Segoe UI"/>
          <w:color w:val="000000"/>
        </w:rPr>
        <w:t>Vi viser til e-posten/søknaden av [</w:t>
      </w:r>
      <w:r w:rsidRPr="00C64D01">
        <w:rPr>
          <w:rStyle w:val="normaltextrun"/>
          <w:rFonts w:eastAsiaTheme="majorEastAsia" w:cs="Segoe UI"/>
          <w:i/>
          <w:iCs/>
          <w:color w:val="000000"/>
        </w:rPr>
        <w:t>dato</w:t>
      </w:r>
      <w:r w:rsidRPr="00C64D01">
        <w:rPr>
          <w:rStyle w:val="normaltextrun"/>
          <w:rFonts w:eastAsiaTheme="majorEastAsia" w:cs="Segoe UI"/>
          <w:color w:val="000000"/>
        </w:rPr>
        <w:t>], der du søkte om [</w:t>
      </w:r>
      <w:r w:rsidRPr="00C64D01">
        <w:rPr>
          <w:rStyle w:val="normaltextrun"/>
          <w:rFonts w:eastAsiaTheme="majorEastAsia" w:cs="Segoe UI"/>
          <w:i/>
          <w:iCs/>
          <w:color w:val="000000"/>
        </w:rPr>
        <w:t>det enkeltvedtaket gjeld</w:t>
      </w:r>
      <w:r w:rsidRPr="00C64D01">
        <w:rPr>
          <w:rStyle w:val="normaltextrun"/>
          <w:rFonts w:eastAsiaTheme="majorEastAsia" w:cs="Segoe UI"/>
          <w:color w:val="000000"/>
        </w:rPr>
        <w:t>].</w:t>
      </w:r>
      <w:r w:rsidRPr="00C64D01">
        <w:rPr>
          <w:rStyle w:val="eop"/>
          <w:rFonts w:eastAsiaTheme="majorEastAsia" w:cs="Segoe UI"/>
          <w:color w:val="000000"/>
        </w:rPr>
        <w:t> </w:t>
      </w:r>
    </w:p>
    <w:p w14:paraId="59D83E32" w14:textId="77777777" w:rsidR="00A936ED" w:rsidRPr="0015069E" w:rsidRDefault="00A936ED" w:rsidP="0015069E">
      <w:pPr>
        <w:pStyle w:val="Overskrift2"/>
      </w:pPr>
      <w:r w:rsidRPr="0015069E">
        <w:rPr>
          <w:rStyle w:val="normaltextrun"/>
        </w:rPr>
        <w:t>Vedtak</w:t>
      </w:r>
      <w:r w:rsidRPr="0015069E">
        <w:rPr>
          <w:rStyle w:val="eop"/>
        </w:rPr>
        <w:t> </w:t>
      </w:r>
    </w:p>
    <w:p w14:paraId="57D6F2D5" w14:textId="77777777" w:rsidR="00A936ED" w:rsidRPr="0015069E" w:rsidRDefault="00A936ED" w:rsidP="0015069E">
      <w:pPr>
        <w:rPr>
          <w:i/>
          <w:iCs/>
        </w:rPr>
      </w:pPr>
      <w:r w:rsidRPr="0015069E">
        <w:rPr>
          <w:rStyle w:val="normaltextrun"/>
          <w:rFonts w:eastAsiaTheme="majorEastAsia" w:cs="Segoe UI"/>
          <w:i/>
          <w:iCs/>
          <w:color w:val="000000"/>
          <w:sz w:val="22"/>
        </w:rPr>
        <w:t>[</w:t>
      </w:r>
      <w:r w:rsidRPr="0015069E">
        <w:rPr>
          <w:i/>
          <w:iCs/>
        </w:rPr>
        <w:t>Her må du seie noko om kva vedtaket gjeld, og kva som er resultatet i saka. Du må seie noko om kva det konkret er fatta vedtak om, til dømes innhald, organisering og omfang.] </w:t>
      </w:r>
    </w:p>
    <w:p w14:paraId="6C2EBA15" w14:textId="77777777" w:rsidR="00A936ED" w:rsidRPr="00A936ED" w:rsidRDefault="00A936ED" w:rsidP="0015069E">
      <w:pPr>
        <w:pStyle w:val="Overskrift2"/>
        <w:rPr>
          <w:sz w:val="18"/>
          <w:szCs w:val="18"/>
        </w:rPr>
      </w:pPr>
      <w:r w:rsidRPr="00A936ED">
        <w:rPr>
          <w:rStyle w:val="normaltextrun"/>
        </w:rPr>
        <w:t xml:space="preserve">Rettsleg </w:t>
      </w:r>
      <w:r w:rsidRPr="0015069E">
        <w:rPr>
          <w:rStyle w:val="normaltextrun"/>
        </w:rPr>
        <w:t>grunnlag</w:t>
      </w:r>
      <w:r w:rsidRPr="00A936ED">
        <w:rPr>
          <w:rStyle w:val="normaltextrun"/>
        </w:rPr>
        <w:t> </w:t>
      </w:r>
      <w:r w:rsidRPr="00A936ED">
        <w:rPr>
          <w:rStyle w:val="eop"/>
        </w:rPr>
        <w:t> </w:t>
      </w:r>
    </w:p>
    <w:p w14:paraId="57A59643" w14:textId="77777777" w:rsidR="00A936ED" w:rsidRPr="0015069E" w:rsidRDefault="00A936ED" w:rsidP="0015069E">
      <w:pPr>
        <w:rPr>
          <w:i/>
          <w:iCs/>
        </w:rPr>
      </w:pPr>
      <w:r w:rsidRPr="0015069E">
        <w:rPr>
          <w:i/>
          <w:iCs/>
        </w:rPr>
        <w:t>[Her må du vise til lova eller forskrifta som er aktuell i denne saka, og kva for paragrafar som er aktuelle. Du kan gjerne forklare kva reglane betyr, om dei kan vere vanskelege å forstå.</w:t>
      </w:r>
    </w:p>
    <w:p w14:paraId="06827211" w14:textId="77777777" w:rsidR="00A936ED" w:rsidRPr="0015069E" w:rsidRDefault="00A936ED" w:rsidP="0015069E">
      <w:pPr>
        <w:rPr>
          <w:i/>
          <w:iCs/>
        </w:rPr>
      </w:pPr>
      <w:bookmarkStart w:id="0" w:name="_Hlk184725778"/>
      <w:r w:rsidRPr="0015069E">
        <w:rPr>
          <w:i/>
          <w:iCs/>
        </w:rPr>
        <w:t>Teksten om rett til å medverke under er ulik for elevar og vaksne. Du kan ta bort det som ikkje passar og tilpasse til di sak</w:t>
      </w:r>
      <w:bookmarkEnd w:id="0"/>
      <w:r w:rsidRPr="0015069E">
        <w:rPr>
          <w:i/>
          <w:iCs/>
        </w:rPr>
        <w:t xml:space="preserve">.] </w:t>
      </w:r>
    </w:p>
    <w:p w14:paraId="555EB4F7" w14:textId="77777777" w:rsidR="00A936ED" w:rsidRPr="00C64D01" w:rsidRDefault="00A936ED" w:rsidP="0015069E">
      <w:pPr>
        <w:rPr>
          <w:rFonts w:cs="Segoe UI"/>
        </w:rPr>
      </w:pPr>
      <w:r w:rsidRPr="00C64D01">
        <w:t>Eleven har rett til å medverke og bli høyrd, og kva som er best for eleven, skal vere eit grunnleggjande omsyn. Dette følgjer av Grunnlova § 104, barnekonvensjonen artikkel 3 og 12 og opplæringslova §§ 10-1 og 10-2. /</w:t>
      </w:r>
      <w:bookmarkStart w:id="1" w:name="_Hlk184725819"/>
      <w:r w:rsidRPr="00C64D01">
        <w:rPr>
          <w:rFonts w:cs="Segoe UI"/>
        </w:rPr>
        <w:t>Deltakarane i den førebuande og den vidaregåande opplæringa for vaksne har rett til å medverke og bli høyrde, og det skal leggjast vekt på meiningane deira. Dette følgjer av opplæringslova § 20-1.</w:t>
      </w:r>
      <w:bookmarkEnd w:id="1"/>
    </w:p>
    <w:p w14:paraId="2D5149D0" w14:textId="77777777" w:rsidR="00A936ED" w:rsidRPr="00A936ED" w:rsidRDefault="00A936ED" w:rsidP="0015069E">
      <w:pPr>
        <w:pStyle w:val="Overskrift2"/>
        <w:rPr>
          <w:sz w:val="18"/>
          <w:szCs w:val="18"/>
        </w:rPr>
      </w:pPr>
      <w:r w:rsidRPr="00A936ED">
        <w:rPr>
          <w:rStyle w:val="normaltextrun"/>
        </w:rPr>
        <w:t>Bakgrunnen for saka</w:t>
      </w:r>
      <w:r w:rsidRPr="00A936ED">
        <w:rPr>
          <w:rStyle w:val="eop"/>
        </w:rPr>
        <w:t> </w:t>
      </w:r>
    </w:p>
    <w:p w14:paraId="2289817D" w14:textId="77777777" w:rsidR="00A936ED" w:rsidRPr="0015069E" w:rsidRDefault="00A936ED" w:rsidP="0015069E">
      <w:pPr>
        <w:rPr>
          <w:i/>
          <w:iCs/>
        </w:rPr>
      </w:pPr>
      <w:r w:rsidRPr="0015069E">
        <w:rPr>
          <w:i/>
          <w:iCs/>
        </w:rPr>
        <w:t xml:space="preserve">[Her må du skrive kva som er fakta i saka, det vil seie at du gjer greie for kva som er bakgrunnen for søknaden, og kva som har skjedd til no. Det held å nemne dei faktiske forholda som har hatt betydning for resultatet. Dersom eleven og foreldra eller den vaksne har beskrive dei faktiske forholda, eller dei er godt kjende for dei, kan det halde med ei tilvising.  </w:t>
      </w:r>
    </w:p>
    <w:p w14:paraId="1039527C" w14:textId="77777777" w:rsidR="00A936ED" w:rsidRPr="0015069E" w:rsidRDefault="00A936ED" w:rsidP="0015069E">
      <w:pPr>
        <w:rPr>
          <w:i/>
          <w:iCs/>
        </w:rPr>
      </w:pPr>
      <w:r w:rsidRPr="0015069E">
        <w:rPr>
          <w:i/>
          <w:iCs/>
        </w:rPr>
        <w:t xml:space="preserve">Det må kome fram korleis eleven er høyrd og har fått medverke, og kva som er eleven  situasjonen, interessene og behova til eleven. </w:t>
      </w:r>
      <w:bookmarkStart w:id="2" w:name="_Hlk184725951"/>
      <w:r w:rsidRPr="0015069E">
        <w:rPr>
          <w:i/>
          <w:iCs/>
        </w:rPr>
        <w:t>Vaksne over 18 år skal òg medverke, og det skal leggjast vekt på meininga deira</w:t>
      </w:r>
      <w:bookmarkEnd w:id="2"/>
      <w:r w:rsidRPr="0015069E">
        <w:rPr>
          <w:i/>
          <w:iCs/>
        </w:rPr>
        <w:t>. Du må òg vise til sentrale dokument, til dømes ei sakkunnig vurdering. Innhaldet i dokumenta skal du kome nærmare inn på i vurderinga.]  </w:t>
      </w:r>
    </w:p>
    <w:p w14:paraId="021E09C3" w14:textId="77777777" w:rsidR="00A936ED" w:rsidRPr="00A936ED" w:rsidRDefault="00A936ED" w:rsidP="0015069E">
      <w:pPr>
        <w:pStyle w:val="Overskrift2"/>
        <w:rPr>
          <w:sz w:val="18"/>
          <w:szCs w:val="18"/>
        </w:rPr>
      </w:pPr>
      <w:r w:rsidRPr="00A936ED">
        <w:rPr>
          <w:rStyle w:val="normaltextrun"/>
        </w:rPr>
        <w:lastRenderedPageBreak/>
        <w:t>Vurdering</w:t>
      </w:r>
      <w:r w:rsidRPr="00A936ED">
        <w:rPr>
          <w:rStyle w:val="eop"/>
        </w:rPr>
        <w:t> </w:t>
      </w:r>
    </w:p>
    <w:p w14:paraId="55691F7B" w14:textId="77777777" w:rsidR="00A936ED" w:rsidRPr="0015069E" w:rsidRDefault="00A936ED" w:rsidP="0015069E">
      <w:pPr>
        <w:rPr>
          <w:i/>
          <w:iCs/>
        </w:rPr>
      </w:pPr>
      <w:r w:rsidRPr="0015069E">
        <w:rPr>
          <w:i/>
          <w:iCs/>
        </w:rPr>
        <w:t>[Du må grunngi kvifor du innvilgar eller avslår å gi eleven eller den vaksne ein rett. Dersom du har innvilga, må du grunngi kvifor eleven eller den vaksne får nett dette tilbodet. </w:t>
      </w:r>
    </w:p>
    <w:p w14:paraId="3CE9A0E1" w14:textId="41D0C3BB" w:rsidR="00A936ED" w:rsidRPr="0015069E" w:rsidRDefault="00A936ED" w:rsidP="0015069E">
      <w:pPr>
        <w:rPr>
          <w:i/>
          <w:iCs/>
        </w:rPr>
      </w:pPr>
      <w:r w:rsidRPr="0015069E">
        <w:rPr>
          <w:i/>
          <w:iCs/>
        </w:rPr>
        <w:t>Det må kome fram korleis det som er best for eleven, er vurdert og vektlagt. Når du vurderer kva som er det beste for eleven, skal du vurdere korleis du kan vareta eleven sitt behov på best mogleg måte. Det gjer du ved å identifisere kva for omsyn som er viktige for eleven, og vege omsyna opp mot kvarandre. Dersom andre omsyn har fått større vekt enn omsynet til eleven, må du særleg grunngi dette. Ei slik vurdering skal ikkje gjerast for vaksne</w:t>
      </w:r>
      <w:r w:rsidR="0015069E" w:rsidRPr="0015069E">
        <w:rPr>
          <w:i/>
          <w:iCs/>
        </w:rPr>
        <w:t>.]  </w:t>
      </w:r>
    </w:p>
    <w:p w14:paraId="69CDB77F" w14:textId="77777777" w:rsidR="00A936ED" w:rsidRPr="00A936ED" w:rsidRDefault="00A936ED" w:rsidP="0015069E">
      <w:pPr>
        <w:pStyle w:val="Overskrift2"/>
        <w:rPr>
          <w:sz w:val="18"/>
          <w:szCs w:val="18"/>
        </w:rPr>
      </w:pPr>
      <w:r w:rsidRPr="00A936ED">
        <w:rPr>
          <w:rStyle w:val="normaltextrun"/>
        </w:rPr>
        <w:t>Klage</w:t>
      </w:r>
      <w:r w:rsidRPr="00A936ED">
        <w:rPr>
          <w:rStyle w:val="eop"/>
          <w:color w:val="881798"/>
        </w:rPr>
        <w:t> </w:t>
      </w:r>
    </w:p>
    <w:p w14:paraId="14056239" w14:textId="77777777" w:rsidR="00A936ED" w:rsidRPr="00C64D01" w:rsidRDefault="00A936ED" w:rsidP="0015069E">
      <w:r w:rsidRPr="00C64D01">
        <w:t xml:space="preserve">Du kan </w:t>
      </w:r>
      <w:r w:rsidRPr="00C64D01">
        <w:rPr>
          <w:rStyle w:val="normaltextrun"/>
          <w:rFonts w:eastAsiaTheme="majorEastAsia" w:cs="Segoe UI"/>
          <w:color w:val="000000"/>
        </w:rPr>
        <w:t xml:space="preserve">klage på dette vedtaket. Dersom du vil klage, er fristen tre veker frå du har mottatt vedtaket. Det står i forvaltningslova § 29. </w:t>
      </w:r>
      <w:r w:rsidRPr="00C64D01">
        <w:rPr>
          <w:rStyle w:val="eop"/>
          <w:rFonts w:eastAsiaTheme="majorEastAsia" w:cs="Segoe UI"/>
          <w:color w:val="000000"/>
        </w:rPr>
        <w:t> </w:t>
      </w:r>
    </w:p>
    <w:p w14:paraId="2D95EB71" w14:textId="77777777" w:rsidR="00A936ED" w:rsidRPr="00C64D01" w:rsidRDefault="00A936ED" w:rsidP="0015069E">
      <w:r w:rsidRPr="00C64D01">
        <w:rPr>
          <w:rStyle w:val="normaltextrun"/>
          <w:rFonts w:eastAsiaTheme="majorEastAsia" w:cs="Segoe UI"/>
          <w:color w:val="000000"/>
        </w:rPr>
        <w:t>Klagen må nemne kva for endring du ønskjer, og bør vere skriftleg. Du bør òg grunngi klagen. Du sender klagen til [</w:t>
      </w:r>
      <w:r w:rsidRPr="00C64D01">
        <w:rPr>
          <w:rStyle w:val="normaltextrun"/>
          <w:rFonts w:eastAsiaTheme="majorEastAsia" w:cs="Segoe UI"/>
          <w:i/>
          <w:iCs/>
          <w:color w:val="000000"/>
        </w:rPr>
        <w:t>skolen ved rektor</w:t>
      </w:r>
      <w:r w:rsidRPr="00C64D01">
        <w:rPr>
          <w:rStyle w:val="normaltextrun"/>
          <w:rFonts w:eastAsiaTheme="majorEastAsia" w:cs="Segoe UI"/>
          <w:color w:val="000000"/>
        </w:rPr>
        <w:t>]. Dersom [</w:t>
      </w:r>
      <w:r w:rsidRPr="00C64D01">
        <w:rPr>
          <w:rStyle w:val="normaltextrun"/>
          <w:rFonts w:eastAsiaTheme="majorEastAsia" w:cs="Segoe UI"/>
          <w:i/>
          <w:iCs/>
          <w:color w:val="000000"/>
        </w:rPr>
        <w:t>skolen</w:t>
      </w:r>
      <w:r w:rsidRPr="00C64D01">
        <w:rPr>
          <w:rStyle w:val="normaltextrun"/>
          <w:rFonts w:eastAsiaTheme="majorEastAsia" w:cs="Segoe UI"/>
          <w:color w:val="000000"/>
        </w:rPr>
        <w:t>] ikkje gjer om på vedtaket, vil saka bli send til [</w:t>
      </w:r>
      <w:r w:rsidRPr="00C64D01">
        <w:rPr>
          <w:rStyle w:val="normaltextrun"/>
          <w:rFonts w:eastAsiaTheme="majorEastAsia" w:cs="Segoe UI"/>
          <w:i/>
          <w:iCs/>
          <w:color w:val="000000"/>
        </w:rPr>
        <w:t>statsforvaltaren</w:t>
      </w:r>
      <w:r w:rsidRPr="00C64D01">
        <w:rPr>
          <w:rStyle w:val="normaltextrun"/>
          <w:rFonts w:eastAsiaTheme="majorEastAsia" w:cs="Segoe UI"/>
          <w:color w:val="000000"/>
        </w:rPr>
        <w:t>], som er endeleg klageinstans.</w:t>
      </w:r>
      <w:r w:rsidRPr="00C64D01">
        <w:rPr>
          <w:rStyle w:val="eop"/>
          <w:rFonts w:eastAsiaTheme="majorEastAsia" w:cs="Segoe UI"/>
          <w:color w:val="000000"/>
        </w:rPr>
        <w:t> </w:t>
      </w:r>
    </w:p>
    <w:p w14:paraId="6B761382" w14:textId="77777777" w:rsidR="00A936ED" w:rsidRPr="00C64D01" w:rsidRDefault="00A936ED" w:rsidP="0015069E">
      <w:r w:rsidRPr="00C64D01">
        <w:rPr>
          <w:rStyle w:val="normaltextrun"/>
          <w:rFonts w:eastAsiaTheme="majorEastAsia" w:cs="Segoe UI"/>
          <w:color w:val="000000"/>
        </w:rPr>
        <w:t>Du har, med nokre unntak, rett til å sjå dokumenta i saka. Dersom du allereie har fått alle dokumenta i saka, skal [</w:t>
      </w:r>
      <w:r w:rsidRPr="00C64D01">
        <w:rPr>
          <w:rStyle w:val="normaltextrun"/>
          <w:rFonts w:eastAsiaTheme="majorEastAsia" w:cs="Segoe UI"/>
          <w:i/>
          <w:iCs/>
          <w:color w:val="000000"/>
        </w:rPr>
        <w:t>skolen</w:t>
      </w:r>
      <w:r w:rsidRPr="00C64D01">
        <w:rPr>
          <w:rStyle w:val="normaltextrun"/>
          <w:rFonts w:eastAsiaTheme="majorEastAsia" w:cs="Segoe UI"/>
          <w:color w:val="000000"/>
        </w:rPr>
        <w:t>] opplyse om det. Dette står i forvaltningslova §§ 18 og 19.</w:t>
      </w:r>
      <w:r w:rsidRPr="00C64D01">
        <w:rPr>
          <w:rStyle w:val="eop"/>
          <w:rFonts w:eastAsiaTheme="majorEastAsia" w:cs="Segoe UI"/>
          <w:color w:val="000000"/>
        </w:rPr>
        <w:t> </w:t>
      </w:r>
    </w:p>
    <w:p w14:paraId="2BD74AAE" w14:textId="77777777" w:rsidR="00A936ED" w:rsidRPr="00C64D01" w:rsidRDefault="00A936ED" w:rsidP="0015069E">
      <w:pPr>
        <w:rPr>
          <w:sz w:val="18"/>
          <w:szCs w:val="18"/>
        </w:rPr>
      </w:pPr>
      <w:r w:rsidRPr="00C64D01">
        <w:rPr>
          <w:rStyle w:val="eop"/>
          <w:rFonts w:eastAsiaTheme="majorEastAsia" w:cs="Segoe UI"/>
          <w:color w:val="000000"/>
          <w:szCs w:val="27"/>
        </w:rPr>
        <w:t> </w:t>
      </w:r>
    </w:p>
    <w:p w14:paraId="7D58B0C7" w14:textId="77777777" w:rsidR="00A936ED" w:rsidRPr="00C64D01" w:rsidRDefault="00A936ED" w:rsidP="0015069E">
      <w:pPr>
        <w:rPr>
          <w:sz w:val="18"/>
          <w:szCs w:val="18"/>
        </w:rPr>
      </w:pPr>
      <w:r w:rsidRPr="00C64D01">
        <w:rPr>
          <w:rStyle w:val="normaltextrun"/>
          <w:rFonts w:eastAsiaTheme="majorEastAsia" w:cs="Segoe UI"/>
          <w:color w:val="000000"/>
          <w:szCs w:val="27"/>
        </w:rPr>
        <w:t>Vennleg helsing </w:t>
      </w:r>
      <w:r w:rsidRPr="00C64D01">
        <w:rPr>
          <w:rStyle w:val="eop"/>
          <w:rFonts w:eastAsiaTheme="majorEastAsia" w:cs="Segoe UI"/>
          <w:color w:val="000000"/>
          <w:szCs w:val="27"/>
        </w:rPr>
        <w:t> </w:t>
      </w:r>
    </w:p>
    <w:p w14:paraId="4E82ABA4" w14:textId="77777777" w:rsidR="00A936ED" w:rsidRPr="00C64D01" w:rsidRDefault="00A936ED" w:rsidP="0015069E">
      <w:pPr>
        <w:rPr>
          <w:sz w:val="18"/>
          <w:szCs w:val="18"/>
        </w:rPr>
      </w:pPr>
      <w:r w:rsidRPr="00C64D01">
        <w:rPr>
          <w:rStyle w:val="eop"/>
          <w:rFonts w:eastAsiaTheme="majorEastAsia" w:cs="Segoe UI"/>
          <w:color w:val="000000"/>
          <w:szCs w:val="27"/>
        </w:rPr>
        <w:t> </w:t>
      </w:r>
    </w:p>
    <w:p w14:paraId="05FF9B68" w14:textId="77777777" w:rsidR="00A936ED" w:rsidRPr="00C64D01" w:rsidRDefault="00A936ED" w:rsidP="0015069E">
      <w:pPr>
        <w:rPr>
          <w:sz w:val="18"/>
          <w:szCs w:val="18"/>
        </w:rPr>
      </w:pPr>
      <w:r w:rsidRPr="00C64D01">
        <w:rPr>
          <w:rStyle w:val="normaltextrun"/>
          <w:rFonts w:eastAsiaTheme="majorEastAsia" w:cs="Segoe UI"/>
          <w:color w:val="000000"/>
          <w:szCs w:val="27"/>
        </w:rPr>
        <w:t>Kopi:</w:t>
      </w:r>
      <w:r w:rsidRPr="00C64D01">
        <w:rPr>
          <w:rStyle w:val="eop"/>
          <w:rFonts w:eastAsiaTheme="majorEastAsia" w:cs="Segoe UI"/>
          <w:color w:val="000000"/>
          <w:szCs w:val="27"/>
        </w:rPr>
        <w:t> </w:t>
      </w:r>
    </w:p>
    <w:p w14:paraId="39F99CAE" w14:textId="77777777" w:rsidR="00A936ED" w:rsidRPr="00C64D01" w:rsidRDefault="00A936ED" w:rsidP="0015069E">
      <w:pPr>
        <w:rPr>
          <w:sz w:val="18"/>
          <w:szCs w:val="18"/>
        </w:rPr>
      </w:pPr>
      <w:r w:rsidRPr="00C64D01">
        <w:rPr>
          <w:rStyle w:val="eop"/>
          <w:rFonts w:eastAsiaTheme="majorEastAsia" w:cs="Segoe UI"/>
          <w:sz w:val="22"/>
        </w:rPr>
        <w:t> </w:t>
      </w:r>
    </w:p>
    <w:p w14:paraId="37FC8605" w14:textId="77777777" w:rsidR="00A936ED" w:rsidRPr="00C64D01" w:rsidRDefault="00A936ED" w:rsidP="0015069E"/>
    <w:p w14:paraId="01B0388C" w14:textId="688D7235" w:rsidR="008E0F0C" w:rsidRPr="00A72840" w:rsidRDefault="008E0F0C" w:rsidP="0015069E"/>
    <w:sectPr w:rsidR="008E0F0C" w:rsidRPr="00A7284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76817D" w14:textId="77777777" w:rsidR="00BF5C37" w:rsidRDefault="00BF5C37" w:rsidP="0015069E">
      <w:r>
        <w:separator/>
      </w:r>
    </w:p>
  </w:endnote>
  <w:endnote w:type="continuationSeparator" w:id="0">
    <w:p w14:paraId="315CCBE3" w14:textId="77777777" w:rsidR="00BF5C37" w:rsidRDefault="00BF5C37" w:rsidP="0015069E">
      <w:r>
        <w:continuationSeparator/>
      </w:r>
    </w:p>
  </w:endnote>
  <w:endnote w:type="continuationNotice" w:id="1">
    <w:p w14:paraId="27AB3812" w14:textId="77777777" w:rsidR="00BF5C37" w:rsidRDefault="00BF5C37" w:rsidP="001506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F22E89" w14:textId="77777777" w:rsidR="00BF5C37" w:rsidRDefault="00BF5C37" w:rsidP="0015069E">
      <w:r>
        <w:separator/>
      </w:r>
    </w:p>
  </w:footnote>
  <w:footnote w:type="continuationSeparator" w:id="0">
    <w:p w14:paraId="74C2A869" w14:textId="77777777" w:rsidR="00BF5C37" w:rsidRDefault="00BF5C37" w:rsidP="0015069E">
      <w:r>
        <w:continuationSeparator/>
      </w:r>
    </w:p>
  </w:footnote>
  <w:footnote w:type="continuationNotice" w:id="1">
    <w:p w14:paraId="71C68DDE" w14:textId="77777777" w:rsidR="00BF5C37" w:rsidRDefault="00BF5C37" w:rsidP="001506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85FA0" w14:textId="77777777" w:rsidR="00BD7394" w:rsidRDefault="00BD7394" w:rsidP="00EE6AA9">
    <w:pPr>
      <w:pStyle w:val="Topptekst"/>
      <w:jc w:val="right"/>
      <w:rPr>
        <w:rFonts w:ascii="Segoe UI" w:hAnsi="Segoe UI" w:cs="Segoe UI"/>
        <w:sz w:val="21"/>
        <w:szCs w:val="21"/>
        <w:lang w:bidi="nn-NO"/>
      </w:rPr>
    </w:pPr>
    <w:r w:rsidRPr="00EE6AA9">
      <w:rPr>
        <w:rFonts w:ascii="Segoe UI" w:hAnsi="Segoe UI" w:cs="Segoe UI"/>
        <w:sz w:val="21"/>
        <w:szCs w:val="21"/>
        <w:lang w:bidi="nn-NO"/>
      </w:rPr>
      <w:t>Unnateke frå offentleg innsyn: Offl § 13, jf. fvl § 13.1.1 (Denne blir teken bort viss dokumentet ikkje er unnateke frå offentleg innsyn.)</w:t>
    </w:r>
  </w:p>
  <w:p w14:paraId="02DD9DA7" w14:textId="77777777" w:rsidR="00EE6AA9" w:rsidRPr="00EE6AA9" w:rsidRDefault="00EE6AA9" w:rsidP="00EE6AA9">
    <w:pPr>
      <w:pStyle w:val="Topptekst"/>
      <w:jc w:val="right"/>
      <w:rPr>
        <w:rFonts w:ascii="Segoe UI" w:hAnsi="Segoe UI" w:cs="Segoe UI"/>
        <w:sz w:val="21"/>
        <w:szCs w:val="21"/>
      </w:rPr>
    </w:pPr>
  </w:p>
  <w:p w14:paraId="6DC3C820" w14:textId="7B5AEC0B" w:rsidR="003D03B3" w:rsidRPr="004479D4" w:rsidRDefault="003D03B3" w:rsidP="0015069E">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26CB2"/>
    <w:rsid w:val="000355BF"/>
    <w:rsid w:val="00060175"/>
    <w:rsid w:val="000829E6"/>
    <w:rsid w:val="000A356D"/>
    <w:rsid w:val="000B5752"/>
    <w:rsid w:val="000C25FC"/>
    <w:rsid w:val="000C6C5F"/>
    <w:rsid w:val="000D5D45"/>
    <w:rsid w:val="000E3EC9"/>
    <w:rsid w:val="001236F0"/>
    <w:rsid w:val="00124F96"/>
    <w:rsid w:val="00127900"/>
    <w:rsid w:val="00132239"/>
    <w:rsid w:val="00132413"/>
    <w:rsid w:val="00133F38"/>
    <w:rsid w:val="0014696A"/>
    <w:rsid w:val="0015069E"/>
    <w:rsid w:val="0015086E"/>
    <w:rsid w:val="0017506B"/>
    <w:rsid w:val="00182B60"/>
    <w:rsid w:val="00185541"/>
    <w:rsid w:val="001B2BFE"/>
    <w:rsid w:val="001C47BE"/>
    <w:rsid w:val="001E432A"/>
    <w:rsid w:val="001F141C"/>
    <w:rsid w:val="001F1571"/>
    <w:rsid w:val="001F1DA6"/>
    <w:rsid w:val="001F7E79"/>
    <w:rsid w:val="00226556"/>
    <w:rsid w:val="00253524"/>
    <w:rsid w:val="00273087"/>
    <w:rsid w:val="00282755"/>
    <w:rsid w:val="00291DAD"/>
    <w:rsid w:val="0029308E"/>
    <w:rsid w:val="00297103"/>
    <w:rsid w:val="002A5EF5"/>
    <w:rsid w:val="002A7ED0"/>
    <w:rsid w:val="002F2906"/>
    <w:rsid w:val="002F4FFA"/>
    <w:rsid w:val="00301ED5"/>
    <w:rsid w:val="00306C90"/>
    <w:rsid w:val="00311A65"/>
    <w:rsid w:val="003156D8"/>
    <w:rsid w:val="00316581"/>
    <w:rsid w:val="00325A53"/>
    <w:rsid w:val="0035319B"/>
    <w:rsid w:val="003712C5"/>
    <w:rsid w:val="00390D26"/>
    <w:rsid w:val="003A3BB9"/>
    <w:rsid w:val="003C2FBB"/>
    <w:rsid w:val="003D03B3"/>
    <w:rsid w:val="00433C8A"/>
    <w:rsid w:val="004479D4"/>
    <w:rsid w:val="004726C7"/>
    <w:rsid w:val="0048447E"/>
    <w:rsid w:val="004844CB"/>
    <w:rsid w:val="00495A3C"/>
    <w:rsid w:val="004A36A5"/>
    <w:rsid w:val="004D5EBA"/>
    <w:rsid w:val="004E2167"/>
    <w:rsid w:val="004E3FA4"/>
    <w:rsid w:val="004E5523"/>
    <w:rsid w:val="00502DA7"/>
    <w:rsid w:val="00503046"/>
    <w:rsid w:val="00545B54"/>
    <w:rsid w:val="00594DC2"/>
    <w:rsid w:val="005C2700"/>
    <w:rsid w:val="005F08C7"/>
    <w:rsid w:val="00631E82"/>
    <w:rsid w:val="00634B4C"/>
    <w:rsid w:val="00672495"/>
    <w:rsid w:val="006833C6"/>
    <w:rsid w:val="006957D9"/>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5422B"/>
    <w:rsid w:val="00863018"/>
    <w:rsid w:val="008639A4"/>
    <w:rsid w:val="008710C0"/>
    <w:rsid w:val="008A1C9B"/>
    <w:rsid w:val="008B3528"/>
    <w:rsid w:val="008C7299"/>
    <w:rsid w:val="008E0F0C"/>
    <w:rsid w:val="008F20B5"/>
    <w:rsid w:val="00906F0C"/>
    <w:rsid w:val="00910FEE"/>
    <w:rsid w:val="00922EE8"/>
    <w:rsid w:val="0093742B"/>
    <w:rsid w:val="00961981"/>
    <w:rsid w:val="009620D9"/>
    <w:rsid w:val="00964973"/>
    <w:rsid w:val="00973D80"/>
    <w:rsid w:val="009A0571"/>
    <w:rsid w:val="009A1577"/>
    <w:rsid w:val="009C4DF6"/>
    <w:rsid w:val="009D23FF"/>
    <w:rsid w:val="009D7A34"/>
    <w:rsid w:val="009E4010"/>
    <w:rsid w:val="00A040A3"/>
    <w:rsid w:val="00A0523D"/>
    <w:rsid w:val="00A235D0"/>
    <w:rsid w:val="00A25B23"/>
    <w:rsid w:val="00A479B5"/>
    <w:rsid w:val="00A5649F"/>
    <w:rsid w:val="00A6676A"/>
    <w:rsid w:val="00A72840"/>
    <w:rsid w:val="00A7618A"/>
    <w:rsid w:val="00A84BFF"/>
    <w:rsid w:val="00A936ED"/>
    <w:rsid w:val="00AA03F8"/>
    <w:rsid w:val="00AD4668"/>
    <w:rsid w:val="00AF0B8B"/>
    <w:rsid w:val="00AF2893"/>
    <w:rsid w:val="00B009B8"/>
    <w:rsid w:val="00B25DAA"/>
    <w:rsid w:val="00B27411"/>
    <w:rsid w:val="00B27CD2"/>
    <w:rsid w:val="00B70863"/>
    <w:rsid w:val="00B74D86"/>
    <w:rsid w:val="00B76C09"/>
    <w:rsid w:val="00B77C4E"/>
    <w:rsid w:val="00B87B5A"/>
    <w:rsid w:val="00BA2BBA"/>
    <w:rsid w:val="00BD7394"/>
    <w:rsid w:val="00BF5C37"/>
    <w:rsid w:val="00BF611C"/>
    <w:rsid w:val="00C06170"/>
    <w:rsid w:val="00C07196"/>
    <w:rsid w:val="00C20C93"/>
    <w:rsid w:val="00C31E73"/>
    <w:rsid w:val="00C44CA0"/>
    <w:rsid w:val="00C50F24"/>
    <w:rsid w:val="00C760CA"/>
    <w:rsid w:val="00C76738"/>
    <w:rsid w:val="00C958AE"/>
    <w:rsid w:val="00CA6BEA"/>
    <w:rsid w:val="00CD2D8F"/>
    <w:rsid w:val="00CD5682"/>
    <w:rsid w:val="00CF13B0"/>
    <w:rsid w:val="00D07A57"/>
    <w:rsid w:val="00D2466E"/>
    <w:rsid w:val="00D33A08"/>
    <w:rsid w:val="00D34908"/>
    <w:rsid w:val="00D407AE"/>
    <w:rsid w:val="00D40A44"/>
    <w:rsid w:val="00D56C80"/>
    <w:rsid w:val="00D7088B"/>
    <w:rsid w:val="00D81685"/>
    <w:rsid w:val="00D93CB6"/>
    <w:rsid w:val="00DB7F42"/>
    <w:rsid w:val="00DC090D"/>
    <w:rsid w:val="00DD1882"/>
    <w:rsid w:val="00DE64FC"/>
    <w:rsid w:val="00DF7EFF"/>
    <w:rsid w:val="00E01780"/>
    <w:rsid w:val="00E01E25"/>
    <w:rsid w:val="00E16778"/>
    <w:rsid w:val="00E279EC"/>
    <w:rsid w:val="00E37F71"/>
    <w:rsid w:val="00E82EC4"/>
    <w:rsid w:val="00E83033"/>
    <w:rsid w:val="00E87203"/>
    <w:rsid w:val="00E879A8"/>
    <w:rsid w:val="00EA2CAB"/>
    <w:rsid w:val="00EB09F9"/>
    <w:rsid w:val="00EB77C7"/>
    <w:rsid w:val="00EE6AA9"/>
    <w:rsid w:val="00F0713D"/>
    <w:rsid w:val="00F12758"/>
    <w:rsid w:val="00F1676E"/>
    <w:rsid w:val="00F27476"/>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69E"/>
    <w:rPr>
      <w:sz w:val="27"/>
      <w:lang w:val="nn-NO"/>
    </w:rPr>
  </w:style>
  <w:style w:type="paragraph" w:styleId="Overskrift1">
    <w:name w:val="heading 1"/>
    <w:basedOn w:val="Tittel"/>
    <w:next w:val="Normal"/>
    <w:link w:val="Overskrift1Tegn"/>
    <w:uiPriority w:val="9"/>
    <w:qFormat/>
    <w:rsid w:val="0015069E"/>
    <w:pPr>
      <w:outlineLvl w:val="0"/>
    </w:pPr>
    <w:rPr>
      <w:rFonts w:ascii="Roboto" w:hAnsi="Roboto"/>
    </w:rPr>
  </w:style>
  <w:style w:type="paragraph" w:styleId="Overskrift2">
    <w:name w:val="heading 2"/>
    <w:basedOn w:val="NormalWeb"/>
    <w:next w:val="Normal"/>
    <w:link w:val="Overskrift2Tegn"/>
    <w:uiPriority w:val="9"/>
    <w:unhideWhenUsed/>
    <w:qFormat/>
    <w:rsid w:val="0015069E"/>
    <w:pPr>
      <w:outlineLvl w:val="1"/>
    </w:pPr>
    <w:rPr>
      <w:rFonts w:ascii="Roboto" w:hAnsi="Roboto"/>
      <w:b/>
      <w:bCs/>
      <w:color w:val="000000" w:themeColor="text1"/>
      <w:sz w:val="27"/>
      <w:szCs w:val="27"/>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15069E"/>
    <w:rPr>
      <w:rFonts w:eastAsiaTheme="majorEastAsia" w:cstheme="majorBidi"/>
      <w:spacing w:val="-10"/>
      <w:kern w:val="28"/>
      <w:sz w:val="56"/>
      <w:szCs w:val="56"/>
      <w:lang w:val="nn-NO"/>
    </w:rPr>
  </w:style>
  <w:style w:type="character" w:customStyle="1" w:styleId="Overskrift2Tegn">
    <w:name w:val="Overskrift 2 Tegn"/>
    <w:basedOn w:val="Standardskriftforavsnitt"/>
    <w:link w:val="Overskrift2"/>
    <w:uiPriority w:val="9"/>
    <w:rsid w:val="0015069E"/>
    <w:rPr>
      <w:rFonts w:eastAsia="Times New Roman" w:cs="Times New Roman"/>
      <w:b/>
      <w:bCs/>
      <w:color w:val="000000" w:themeColor="text1"/>
      <w:sz w:val="27"/>
      <w:szCs w:val="27"/>
      <w:lang w:val="nn-NO"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2571</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5</cp:revision>
  <dcterms:created xsi:type="dcterms:W3CDTF">2024-12-16T13:18:00Z</dcterms:created>
  <dcterms:modified xsi:type="dcterms:W3CDTF">2024-12-16T13:23:00Z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